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8899" w14:textId="3A94EA2A" w:rsidR="008A1893" w:rsidRDefault="008A1893" w:rsidP="008A1893">
      <w:pPr>
        <w:jc w:val="right"/>
      </w:pPr>
      <w:r>
        <w:t>Załącznik nr 1</w:t>
      </w:r>
      <w:r w:rsidR="00533A33">
        <w:t>a</w:t>
      </w:r>
      <w:r>
        <w:t xml:space="preserve"> - Opis Przedmiotu Zamówienia</w:t>
      </w:r>
    </w:p>
    <w:p w14:paraId="5CE03EEE" w14:textId="77777777" w:rsidR="008A1893" w:rsidRDefault="008A1893" w:rsidP="008A1893">
      <w:pPr>
        <w:jc w:val="center"/>
      </w:pPr>
    </w:p>
    <w:p w14:paraId="21DB194A" w14:textId="77777777" w:rsidR="008A1893" w:rsidRPr="000C370A" w:rsidRDefault="008A1893" w:rsidP="008A1893">
      <w:pPr>
        <w:jc w:val="center"/>
        <w:rPr>
          <w:b/>
        </w:rPr>
      </w:pPr>
      <w:r w:rsidRPr="000C370A">
        <w:rPr>
          <w:b/>
        </w:rPr>
        <w:t>OPIS PRZEDMIOTU ZAMÓWIENIA</w:t>
      </w:r>
    </w:p>
    <w:p w14:paraId="6D65E3C7" w14:textId="77777777" w:rsidR="008A1893" w:rsidRPr="000C370A" w:rsidRDefault="008A1893" w:rsidP="008A18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16"/>
        <w:gridCol w:w="4013"/>
        <w:gridCol w:w="2268"/>
      </w:tblGrid>
      <w:tr w:rsidR="008A1893" w:rsidRPr="000C370A" w14:paraId="425F72C0" w14:textId="77777777" w:rsidTr="007B50C6">
        <w:tc>
          <w:tcPr>
            <w:tcW w:w="675" w:type="dxa"/>
            <w:shd w:val="clear" w:color="auto" w:fill="auto"/>
          </w:tcPr>
          <w:p w14:paraId="78E03676" w14:textId="77777777" w:rsidR="008A1893" w:rsidRPr="000C370A" w:rsidRDefault="008A1893" w:rsidP="007B50C6">
            <w:pPr>
              <w:rPr>
                <w:b/>
              </w:rPr>
            </w:pPr>
            <w:r w:rsidRPr="000C370A">
              <w:rPr>
                <w:b/>
              </w:rPr>
              <w:t xml:space="preserve">L. p. </w:t>
            </w:r>
          </w:p>
        </w:tc>
        <w:tc>
          <w:tcPr>
            <w:tcW w:w="2127" w:type="dxa"/>
            <w:shd w:val="clear" w:color="auto" w:fill="auto"/>
          </w:tcPr>
          <w:p w14:paraId="4C963FBB" w14:textId="77777777" w:rsidR="008A1893" w:rsidRPr="000C370A" w:rsidRDefault="008A1893" w:rsidP="007B50C6">
            <w:pPr>
              <w:rPr>
                <w:b/>
              </w:rPr>
            </w:pPr>
            <w:r w:rsidRPr="000C370A">
              <w:rPr>
                <w:b/>
              </w:rPr>
              <w:t>Nazwa szkolenia</w:t>
            </w:r>
          </w:p>
        </w:tc>
        <w:tc>
          <w:tcPr>
            <w:tcW w:w="4107" w:type="dxa"/>
            <w:shd w:val="clear" w:color="auto" w:fill="auto"/>
          </w:tcPr>
          <w:p w14:paraId="3B17D44E" w14:textId="77777777" w:rsidR="008A1893" w:rsidRPr="000C370A" w:rsidRDefault="008A1893" w:rsidP="007B50C6">
            <w:pPr>
              <w:rPr>
                <w:b/>
              </w:rPr>
            </w:pPr>
            <w:r w:rsidRPr="000C370A">
              <w:rPr>
                <w:b/>
              </w:rPr>
              <w:t>Zakres przedmiotowy szkolenia</w:t>
            </w:r>
          </w:p>
        </w:tc>
        <w:tc>
          <w:tcPr>
            <w:tcW w:w="2303" w:type="dxa"/>
            <w:shd w:val="clear" w:color="auto" w:fill="auto"/>
          </w:tcPr>
          <w:p w14:paraId="1C389957" w14:textId="77777777" w:rsidR="008A1893" w:rsidRPr="000C370A" w:rsidRDefault="008A1893" w:rsidP="007B50C6">
            <w:pPr>
              <w:rPr>
                <w:b/>
              </w:rPr>
            </w:pPr>
            <w:r w:rsidRPr="000C370A">
              <w:rPr>
                <w:b/>
              </w:rPr>
              <w:t xml:space="preserve">Liczba godzin szkolenia </w:t>
            </w:r>
          </w:p>
        </w:tc>
      </w:tr>
      <w:tr w:rsidR="008A1893" w:rsidRPr="000C370A" w14:paraId="2882685C" w14:textId="77777777" w:rsidTr="007B50C6">
        <w:tc>
          <w:tcPr>
            <w:tcW w:w="675" w:type="dxa"/>
            <w:shd w:val="clear" w:color="auto" w:fill="auto"/>
          </w:tcPr>
          <w:p w14:paraId="62C208EA" w14:textId="77777777" w:rsidR="008A1893" w:rsidRPr="000C370A" w:rsidRDefault="008A1893" w:rsidP="007B50C6">
            <w:r w:rsidRPr="000C370A">
              <w:t>1</w:t>
            </w:r>
          </w:p>
        </w:tc>
        <w:tc>
          <w:tcPr>
            <w:tcW w:w="2127" w:type="dxa"/>
            <w:shd w:val="clear" w:color="auto" w:fill="auto"/>
          </w:tcPr>
          <w:p w14:paraId="48DCD8B1" w14:textId="77777777" w:rsidR="008A1893" w:rsidRPr="000C370A" w:rsidRDefault="008A1893" w:rsidP="007B50C6">
            <w:pPr>
              <w:rPr>
                <w:b/>
                <w:bCs/>
              </w:rPr>
            </w:pPr>
            <w:r w:rsidRPr="000C370A">
              <w:rPr>
                <w:b/>
                <w:bCs/>
              </w:rPr>
              <w:t>Instalator systemów magazynowania energii</w:t>
            </w:r>
          </w:p>
          <w:p w14:paraId="5B71D66A" w14:textId="77777777" w:rsidR="008A1893" w:rsidRPr="000C370A" w:rsidRDefault="008A1893" w:rsidP="007B50C6"/>
        </w:tc>
        <w:tc>
          <w:tcPr>
            <w:tcW w:w="4107" w:type="dxa"/>
            <w:shd w:val="clear" w:color="auto" w:fill="auto"/>
          </w:tcPr>
          <w:p w14:paraId="393B91BA" w14:textId="77777777" w:rsidR="008A1893" w:rsidRPr="000C370A" w:rsidRDefault="008A1893" w:rsidP="007B50C6">
            <w:r w:rsidRPr="000C370A">
              <w:t>1. Wstęp teoretyczny: zapoznanie z dostępnymi na rynku technologiami magazynowania energii oraz zwrócenie szczególnej uwagi na te wykorzystywane stricte w branży PV.</w:t>
            </w:r>
          </w:p>
          <w:p w14:paraId="3D5251A8" w14:textId="77777777" w:rsidR="008A1893" w:rsidRPr="000C370A" w:rsidRDefault="008A1893" w:rsidP="007B50C6">
            <w:r w:rsidRPr="000C370A">
              <w:t>2. Rodzaje pracy magazynów energii – praca wyspowa oraz hybrydowa.</w:t>
            </w:r>
          </w:p>
          <w:p w14:paraId="1A135FA4" w14:textId="77777777" w:rsidR="008A1893" w:rsidRPr="000C370A" w:rsidRDefault="008A1893" w:rsidP="007B50C6">
            <w:r w:rsidRPr="000C370A">
              <w:t>3. Dobór magazynów energii zarówno pod istniejące instalacje PV jak i planowane.</w:t>
            </w:r>
          </w:p>
          <w:p w14:paraId="7448E699" w14:textId="77777777" w:rsidR="008A1893" w:rsidRPr="000C370A" w:rsidRDefault="008A1893" w:rsidP="007B50C6">
            <w:r w:rsidRPr="000C370A">
              <w:t>4. Montaż magazynu energii: techniczne kwestie montażowe, okablowanie, zabezpieczenia.</w:t>
            </w:r>
          </w:p>
          <w:p w14:paraId="2BC37B7C" w14:textId="77777777" w:rsidR="008A1893" w:rsidRPr="000C370A" w:rsidRDefault="008A1893" w:rsidP="007B50C6">
            <w:r w:rsidRPr="000C370A">
              <w:t>5. Konfiguracja magazynów energii – powiązanie z inwerterem hybrydowym.</w:t>
            </w:r>
          </w:p>
          <w:p w14:paraId="0565204A" w14:textId="77777777" w:rsidR="008A1893" w:rsidRPr="000C370A" w:rsidRDefault="008A1893" w:rsidP="007B50C6">
            <w:r w:rsidRPr="000C370A">
              <w:t>6. Podsumowanie technicznych aspektów związanych z magazynowaniem energii z podkreśleniem roli bezpieczeństwa instalacji oraz jej długotrwałej ciągłej pracy.</w:t>
            </w:r>
          </w:p>
          <w:p w14:paraId="13945B00" w14:textId="77777777" w:rsidR="008A1893" w:rsidRPr="000C370A" w:rsidRDefault="008A1893" w:rsidP="007B50C6"/>
        </w:tc>
        <w:tc>
          <w:tcPr>
            <w:tcW w:w="2303" w:type="dxa"/>
            <w:shd w:val="clear" w:color="auto" w:fill="auto"/>
          </w:tcPr>
          <w:p w14:paraId="3D73D79B" w14:textId="77777777" w:rsidR="008A1893" w:rsidRPr="000C370A" w:rsidRDefault="008A1893" w:rsidP="007B50C6">
            <w:r w:rsidRPr="000C370A">
              <w:t xml:space="preserve">8 godzin lekcyjnych (45 minut każda). </w:t>
            </w:r>
          </w:p>
          <w:p w14:paraId="20232F86" w14:textId="77777777" w:rsidR="008A1893" w:rsidRPr="000C370A" w:rsidRDefault="008A1893" w:rsidP="007B50C6">
            <w:r w:rsidRPr="000C370A">
              <w:t>Należy również uwzględnić dwie przerwy kawowe (każda ok. 20 minut)</w:t>
            </w:r>
          </w:p>
          <w:p w14:paraId="00E2F5D6" w14:textId="77777777" w:rsidR="008A1893" w:rsidRPr="000C370A" w:rsidRDefault="008A1893" w:rsidP="007B50C6"/>
          <w:p w14:paraId="1DFDB12A" w14:textId="77777777" w:rsidR="008A1893" w:rsidRPr="000C370A" w:rsidRDefault="008A1893" w:rsidP="007B50C6">
            <w:r w:rsidRPr="000C370A">
              <w:t>Szkolenie jednodniowe</w:t>
            </w:r>
          </w:p>
        </w:tc>
      </w:tr>
      <w:tr w:rsidR="008A1893" w:rsidRPr="000C370A" w14:paraId="6F263EEA" w14:textId="77777777" w:rsidTr="007B50C6">
        <w:tc>
          <w:tcPr>
            <w:tcW w:w="675" w:type="dxa"/>
            <w:shd w:val="clear" w:color="auto" w:fill="auto"/>
          </w:tcPr>
          <w:p w14:paraId="2DEA5712" w14:textId="77777777" w:rsidR="008A1893" w:rsidRPr="000C370A" w:rsidRDefault="008A1893" w:rsidP="007B50C6">
            <w:r w:rsidRPr="000C370A">
              <w:t>2</w:t>
            </w:r>
          </w:p>
        </w:tc>
        <w:tc>
          <w:tcPr>
            <w:tcW w:w="2127" w:type="dxa"/>
            <w:shd w:val="clear" w:color="auto" w:fill="auto"/>
          </w:tcPr>
          <w:p w14:paraId="121B0DDE" w14:textId="77777777" w:rsidR="008A1893" w:rsidRPr="000C370A" w:rsidRDefault="008A1893" w:rsidP="007B50C6">
            <w:pPr>
              <w:rPr>
                <w:b/>
                <w:bCs/>
              </w:rPr>
            </w:pPr>
            <w:r w:rsidRPr="000C370A">
              <w:rPr>
                <w:b/>
                <w:bCs/>
              </w:rPr>
              <w:t>Rodzaje i systemy montażu konstrukcji PV (grunt, dach, woda, carport)</w:t>
            </w:r>
          </w:p>
          <w:p w14:paraId="32EFC1F2" w14:textId="77777777" w:rsidR="008A1893" w:rsidRPr="000C370A" w:rsidRDefault="008A1893" w:rsidP="007B50C6"/>
        </w:tc>
        <w:tc>
          <w:tcPr>
            <w:tcW w:w="4107" w:type="dxa"/>
            <w:shd w:val="clear" w:color="auto" w:fill="auto"/>
          </w:tcPr>
          <w:p w14:paraId="32F03D44" w14:textId="77777777" w:rsidR="008A1893" w:rsidRPr="000C370A" w:rsidRDefault="008A1893" w:rsidP="007B50C6">
            <w:r w:rsidRPr="000C370A">
              <w:t>1.Wstęp teoretyczny: przegląd dostępnych na rynku systemów montażu PV z podziałem na typ, przeznaczenie i technologię w zależności od umiejscowienia instalacji.</w:t>
            </w:r>
          </w:p>
          <w:p w14:paraId="456B1B74" w14:textId="77777777" w:rsidR="008A1893" w:rsidRPr="000C370A" w:rsidRDefault="008A1893" w:rsidP="007B50C6">
            <w:r w:rsidRPr="000C370A">
              <w:t>2.Poruszenie ogólnych aspektów monterskich poszczególnych typów rozwiązań konstrukcyjnych.</w:t>
            </w:r>
          </w:p>
          <w:p w14:paraId="390906BF" w14:textId="77777777" w:rsidR="008A1893" w:rsidRPr="000C370A" w:rsidRDefault="008A1893" w:rsidP="007B50C6">
            <w:r w:rsidRPr="000C370A">
              <w:t>3.Niezbędnik montera konstrukcji PV – przegląd narzędzi i urządzeń potrzebnych do pracy przy montażu.</w:t>
            </w:r>
          </w:p>
          <w:p w14:paraId="2A54A834" w14:textId="77777777" w:rsidR="008A1893" w:rsidRPr="000C370A" w:rsidRDefault="008A1893" w:rsidP="007B50C6">
            <w:r w:rsidRPr="000C370A">
              <w:t>4.Bezpieczeństwo konstrukcji PV – jakie wymagania stawiane są konstrukcjom?</w:t>
            </w:r>
          </w:p>
          <w:p w14:paraId="0CC58C10" w14:textId="77777777" w:rsidR="008A1893" w:rsidRPr="000C370A" w:rsidRDefault="008A1893" w:rsidP="007B50C6">
            <w:r w:rsidRPr="000C370A">
              <w:t>5.Podsumowanie najistotniejszych informacji konstrukcyjnych.</w:t>
            </w:r>
          </w:p>
        </w:tc>
        <w:tc>
          <w:tcPr>
            <w:tcW w:w="2303" w:type="dxa"/>
            <w:shd w:val="clear" w:color="auto" w:fill="auto"/>
          </w:tcPr>
          <w:p w14:paraId="119B0BFF" w14:textId="77777777" w:rsidR="008A1893" w:rsidRPr="000C370A" w:rsidRDefault="008A1893" w:rsidP="007B50C6">
            <w:r w:rsidRPr="000C370A">
              <w:t xml:space="preserve">8 godzin lekcyjnych (45 minut każda). </w:t>
            </w:r>
          </w:p>
          <w:p w14:paraId="0427E25F" w14:textId="77777777" w:rsidR="008A1893" w:rsidRPr="000C370A" w:rsidRDefault="008A1893" w:rsidP="007B50C6">
            <w:r w:rsidRPr="000C370A">
              <w:t>Należy również uwzględnić dwie przerwy kawowe (każda ok. 20 minut)</w:t>
            </w:r>
          </w:p>
          <w:p w14:paraId="09241ADA" w14:textId="77777777" w:rsidR="008A1893" w:rsidRPr="000C370A" w:rsidRDefault="008A1893" w:rsidP="007B50C6"/>
          <w:p w14:paraId="4926C37C" w14:textId="77777777" w:rsidR="008A1893" w:rsidRPr="000C370A" w:rsidRDefault="008A1893" w:rsidP="007B50C6">
            <w:r w:rsidRPr="000C370A">
              <w:t>Szkolenie jednodniowe</w:t>
            </w:r>
          </w:p>
        </w:tc>
      </w:tr>
      <w:tr w:rsidR="008A1893" w:rsidRPr="000C370A" w14:paraId="514F95B9" w14:textId="77777777" w:rsidTr="007B50C6">
        <w:tc>
          <w:tcPr>
            <w:tcW w:w="675" w:type="dxa"/>
            <w:shd w:val="clear" w:color="auto" w:fill="auto"/>
          </w:tcPr>
          <w:p w14:paraId="2948932A" w14:textId="77777777" w:rsidR="008A1893" w:rsidRPr="000C370A" w:rsidRDefault="008A1893" w:rsidP="007B50C6">
            <w:r w:rsidRPr="000C370A"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14:paraId="60428B59" w14:textId="77777777" w:rsidR="008A1893" w:rsidRPr="000C370A" w:rsidRDefault="008A1893" w:rsidP="007B50C6">
            <w:pPr>
              <w:rPr>
                <w:b/>
                <w:bCs/>
              </w:rPr>
            </w:pPr>
            <w:r w:rsidRPr="000C370A">
              <w:rPr>
                <w:b/>
                <w:bCs/>
              </w:rPr>
              <w:t>Inspekcje instalacji PV oraz systemy zarządzania źródłami rozproszonymi</w:t>
            </w:r>
          </w:p>
          <w:p w14:paraId="73E8AE0B" w14:textId="77777777" w:rsidR="008A1893" w:rsidRPr="000C370A" w:rsidRDefault="008A1893" w:rsidP="007B50C6"/>
        </w:tc>
        <w:tc>
          <w:tcPr>
            <w:tcW w:w="4107" w:type="dxa"/>
            <w:shd w:val="clear" w:color="auto" w:fill="auto"/>
          </w:tcPr>
          <w:p w14:paraId="4069DE99" w14:textId="77777777" w:rsidR="008A1893" w:rsidRPr="000C370A" w:rsidRDefault="008A1893" w:rsidP="007B50C6">
            <w:r w:rsidRPr="000C370A">
              <w:t>1.Wstęp teoretyczny: rodzaje inspekcji instalacji PV, specyfikacja systemów zarządzania farmami PV.</w:t>
            </w:r>
          </w:p>
          <w:p w14:paraId="388D5E23" w14:textId="77777777" w:rsidR="008A1893" w:rsidRPr="000C370A" w:rsidRDefault="008A1893" w:rsidP="007B50C6">
            <w:r w:rsidRPr="000C370A">
              <w:t>2.Specyfika inspekcji termowizyjnych oraz normy wykorzystywane w praktyce.</w:t>
            </w:r>
          </w:p>
          <w:p w14:paraId="2261344A" w14:textId="77777777" w:rsidR="008A1893" w:rsidRPr="000C370A" w:rsidRDefault="008A1893" w:rsidP="007B50C6">
            <w:r w:rsidRPr="000C370A">
              <w:t>3.Zajęcia praktyczne na farmie PV w promieniu nie większym niż 40 km od siedziby Zamawiającego – wykonanie testowej inspekcji termowizyjnej.</w:t>
            </w:r>
          </w:p>
          <w:p w14:paraId="061FD0FB" w14:textId="77777777" w:rsidR="008A1893" w:rsidRPr="000C370A" w:rsidRDefault="008A1893" w:rsidP="007B50C6">
            <w:r w:rsidRPr="000C370A">
              <w:t>4.Raportowanie pracy farmy PV.</w:t>
            </w:r>
          </w:p>
          <w:p w14:paraId="0DA0D559" w14:textId="77777777" w:rsidR="008A1893" w:rsidRPr="000C370A" w:rsidRDefault="008A1893" w:rsidP="007B50C6">
            <w:r w:rsidRPr="000C370A">
              <w:t>5.Wskaźniki produktywności.</w:t>
            </w:r>
          </w:p>
          <w:p w14:paraId="6E257898" w14:textId="77777777" w:rsidR="008A1893" w:rsidRPr="000C370A" w:rsidRDefault="008A1893" w:rsidP="007B50C6">
            <w:r w:rsidRPr="000C370A">
              <w:t>6.Specyfika systemu zarządzania farmami na przykładzie środowiska SCADA – prezentacja i omówienie cech szczególnych.</w:t>
            </w:r>
          </w:p>
          <w:p w14:paraId="2E904114" w14:textId="77777777" w:rsidR="008A1893" w:rsidRPr="000C370A" w:rsidRDefault="008A1893" w:rsidP="007B50C6"/>
          <w:p w14:paraId="6F1D586E" w14:textId="77777777" w:rsidR="008A1893" w:rsidRPr="000C370A" w:rsidRDefault="008A1893" w:rsidP="007B50C6">
            <w:r w:rsidRPr="000C370A">
              <w:t xml:space="preserve">Rolą Wykonawcy jest zapewnienie możliwości udziału uczestników na farmie fotowoltaicznej na koszt Wykonawcy. </w:t>
            </w:r>
          </w:p>
          <w:p w14:paraId="53D66EB1" w14:textId="77777777" w:rsidR="008A1893" w:rsidRPr="000C370A" w:rsidRDefault="008A1893" w:rsidP="007B50C6"/>
          <w:p w14:paraId="64616A85" w14:textId="77777777" w:rsidR="008A1893" w:rsidRPr="000C370A" w:rsidRDefault="008A1893" w:rsidP="007B50C6">
            <w:r w:rsidRPr="000C370A">
              <w:t>Przez farmę fotowoltaiczną należy rozumieć instalację fotowoltaiczną posadowioną na gruncie o minimalnej mocy 1 MW</w:t>
            </w:r>
          </w:p>
          <w:p w14:paraId="08405194" w14:textId="77777777" w:rsidR="008A1893" w:rsidRPr="000C370A" w:rsidRDefault="008A1893" w:rsidP="007B50C6">
            <w:r w:rsidRPr="000C370A">
              <w:t>Wykonawca na własny koszt zapewnia dojazd i powrót uczestników szkolenia z siedziby Zamawiającego do miejsca siedziby farmy fotowoltaicznej</w:t>
            </w:r>
          </w:p>
          <w:p w14:paraId="26864567" w14:textId="77777777" w:rsidR="008A1893" w:rsidRPr="000C370A" w:rsidRDefault="008A1893" w:rsidP="007B50C6"/>
          <w:p w14:paraId="08214176" w14:textId="77777777" w:rsidR="008A1893" w:rsidRPr="000C370A" w:rsidRDefault="008A1893" w:rsidP="007B50C6">
            <w:r w:rsidRPr="000C370A">
              <w:t xml:space="preserve">Zamawiający zapewnia odpowiednie urządzenia do przeprowadzenia szkolenia w tym m.in. </w:t>
            </w:r>
            <w:proofErr w:type="spellStart"/>
            <w:r w:rsidRPr="000C370A">
              <w:t>drona</w:t>
            </w:r>
            <w:proofErr w:type="spellEnd"/>
            <w:r w:rsidRPr="000C370A">
              <w:t xml:space="preserve"> do przeprowadzenia nalotów  nad farmą</w:t>
            </w:r>
          </w:p>
          <w:p w14:paraId="7ED8F274" w14:textId="77777777" w:rsidR="008A1893" w:rsidRDefault="008A1893" w:rsidP="007B50C6"/>
          <w:p w14:paraId="63DA3AE2" w14:textId="77777777" w:rsidR="008A1893" w:rsidRPr="000C370A" w:rsidRDefault="008A1893" w:rsidP="007B50C6"/>
        </w:tc>
        <w:tc>
          <w:tcPr>
            <w:tcW w:w="2303" w:type="dxa"/>
            <w:shd w:val="clear" w:color="auto" w:fill="auto"/>
          </w:tcPr>
          <w:p w14:paraId="4611DBEC" w14:textId="77777777" w:rsidR="008A1893" w:rsidRPr="000C370A" w:rsidRDefault="008A1893" w:rsidP="007B50C6">
            <w:r w:rsidRPr="000C370A">
              <w:t xml:space="preserve">16 godzin lekcyjnych (45 minut każda). </w:t>
            </w:r>
          </w:p>
          <w:p w14:paraId="362ED52F" w14:textId="77777777" w:rsidR="008A1893" w:rsidRPr="000C370A" w:rsidRDefault="008A1893" w:rsidP="007B50C6">
            <w:r w:rsidRPr="000C370A">
              <w:t>Należy również uwzględnić dwie przerwy kawowe (każda ok. 20 minut)</w:t>
            </w:r>
          </w:p>
          <w:p w14:paraId="3DB54DDB" w14:textId="77777777" w:rsidR="008A1893" w:rsidRPr="000C370A" w:rsidRDefault="008A1893" w:rsidP="007B50C6"/>
          <w:p w14:paraId="6F78A5F8" w14:textId="77777777" w:rsidR="008A1893" w:rsidRPr="000C370A" w:rsidRDefault="008A1893" w:rsidP="007B50C6">
            <w:r w:rsidRPr="000C370A">
              <w:t xml:space="preserve">Szkolenie dwudniowe: 1 dzień = 8 godzin. </w:t>
            </w:r>
          </w:p>
          <w:p w14:paraId="02840C04" w14:textId="77777777" w:rsidR="008A1893" w:rsidRPr="000C370A" w:rsidRDefault="008A1893" w:rsidP="007B50C6"/>
          <w:p w14:paraId="1ECD9EBE" w14:textId="77777777" w:rsidR="008A1893" w:rsidRPr="000C370A" w:rsidRDefault="008A1893" w:rsidP="007B50C6">
            <w:r w:rsidRPr="000C370A">
              <w:t xml:space="preserve">Zamawiający wymaga aby były to dwa dni szkoleniowe z rzędu. </w:t>
            </w:r>
          </w:p>
        </w:tc>
      </w:tr>
      <w:tr w:rsidR="008A1893" w:rsidRPr="000C370A" w14:paraId="0B14F14F" w14:textId="77777777" w:rsidTr="007B50C6">
        <w:tc>
          <w:tcPr>
            <w:tcW w:w="675" w:type="dxa"/>
            <w:shd w:val="clear" w:color="auto" w:fill="auto"/>
          </w:tcPr>
          <w:p w14:paraId="752FBB9C" w14:textId="77777777" w:rsidR="008A1893" w:rsidRPr="000C370A" w:rsidRDefault="008A1893" w:rsidP="007B50C6">
            <w:r w:rsidRPr="000C370A">
              <w:t>4</w:t>
            </w:r>
          </w:p>
        </w:tc>
        <w:tc>
          <w:tcPr>
            <w:tcW w:w="2127" w:type="dxa"/>
            <w:shd w:val="clear" w:color="auto" w:fill="auto"/>
          </w:tcPr>
          <w:p w14:paraId="433D54F8" w14:textId="77777777" w:rsidR="008A1893" w:rsidRPr="000C370A" w:rsidRDefault="008A1893" w:rsidP="007B50C6">
            <w:pPr>
              <w:rPr>
                <w:b/>
                <w:bCs/>
              </w:rPr>
            </w:pPr>
            <w:r w:rsidRPr="000C370A">
              <w:rPr>
                <w:b/>
                <w:bCs/>
              </w:rPr>
              <w:t>Konfiguracja systemów PV</w:t>
            </w:r>
          </w:p>
          <w:p w14:paraId="22F18D54" w14:textId="77777777" w:rsidR="008A1893" w:rsidRPr="000C370A" w:rsidRDefault="008A1893" w:rsidP="007B50C6"/>
        </w:tc>
        <w:tc>
          <w:tcPr>
            <w:tcW w:w="4107" w:type="dxa"/>
            <w:shd w:val="clear" w:color="auto" w:fill="auto"/>
          </w:tcPr>
          <w:p w14:paraId="27C7A430" w14:textId="77777777" w:rsidR="008A1893" w:rsidRPr="000C370A" w:rsidRDefault="008A1893" w:rsidP="007B50C6">
            <w:r w:rsidRPr="000C370A">
              <w:t>1.Wstęp teoretyczny: przegląd najczęściej stosowanych w branży systemów monitorowania instalacji PV oraz omówienie ogółów konfiguracji.</w:t>
            </w:r>
          </w:p>
          <w:p w14:paraId="30F282A8" w14:textId="77777777" w:rsidR="008A1893" w:rsidRPr="000C370A" w:rsidRDefault="008A1893" w:rsidP="007B50C6">
            <w:r w:rsidRPr="000C370A">
              <w:t>2.Proces konfiguracyjny falowników: omówienie krok po kroku ze zwróceniem uwagi na uwarunkowania stawiane przez producentów w instrukcjach montażu i konfiguracji.</w:t>
            </w:r>
          </w:p>
          <w:p w14:paraId="628B29DE" w14:textId="77777777" w:rsidR="008A1893" w:rsidRPr="000C370A" w:rsidRDefault="008A1893" w:rsidP="007B50C6">
            <w:r w:rsidRPr="000C370A">
              <w:lastRenderedPageBreak/>
              <w:t>3.Konfiguracja za pomocą Smarloger, karty S.M.</w:t>
            </w:r>
          </w:p>
          <w:p w14:paraId="0FD20464" w14:textId="77777777" w:rsidR="008A1893" w:rsidRPr="000C370A" w:rsidRDefault="008A1893" w:rsidP="007B50C6">
            <w:r w:rsidRPr="000C370A">
              <w:t>4.Poruszanie się po odpowiednich portalach przypisanych do falowników.</w:t>
            </w:r>
          </w:p>
          <w:p w14:paraId="06FF2289" w14:textId="77777777" w:rsidR="008A1893" w:rsidRPr="000C370A" w:rsidRDefault="008A1893" w:rsidP="007B50C6">
            <w:r w:rsidRPr="000C370A">
              <w:t>5.Podsumowanie, dyskusja i wnioski.</w:t>
            </w:r>
          </w:p>
        </w:tc>
        <w:tc>
          <w:tcPr>
            <w:tcW w:w="2303" w:type="dxa"/>
            <w:shd w:val="clear" w:color="auto" w:fill="auto"/>
          </w:tcPr>
          <w:p w14:paraId="04DC89B6" w14:textId="77777777" w:rsidR="008A1893" w:rsidRPr="000C370A" w:rsidRDefault="008A1893" w:rsidP="007B50C6">
            <w:r w:rsidRPr="000C370A">
              <w:lastRenderedPageBreak/>
              <w:t xml:space="preserve">8 godzin lekcyjnych (45 minut każda). </w:t>
            </w:r>
          </w:p>
          <w:p w14:paraId="1B9BB77A" w14:textId="77777777" w:rsidR="008A1893" w:rsidRPr="000C370A" w:rsidRDefault="008A1893" w:rsidP="007B50C6">
            <w:r w:rsidRPr="000C370A">
              <w:t>Należy również uwzględnić dwie przerwy kawowe (każda ok. 20 minut)</w:t>
            </w:r>
          </w:p>
          <w:p w14:paraId="3FDA8B2D" w14:textId="77777777" w:rsidR="008A1893" w:rsidRPr="000C370A" w:rsidRDefault="008A1893" w:rsidP="007B50C6"/>
          <w:p w14:paraId="3E1A1E9B" w14:textId="77777777" w:rsidR="008A1893" w:rsidRPr="000C370A" w:rsidRDefault="008A1893" w:rsidP="007B50C6">
            <w:r w:rsidRPr="000C370A">
              <w:t>Szkolenie jednodniowe</w:t>
            </w:r>
          </w:p>
        </w:tc>
      </w:tr>
    </w:tbl>
    <w:p w14:paraId="3D7A24BD" w14:textId="77777777" w:rsidR="008A1893" w:rsidRPr="000C370A" w:rsidRDefault="008A1893" w:rsidP="008A1893"/>
    <w:p w14:paraId="11E0339D" w14:textId="77777777" w:rsidR="008A1893" w:rsidRDefault="008A1893" w:rsidP="008A1893"/>
    <w:p w14:paraId="1F0514FA" w14:textId="77777777" w:rsidR="008F5905" w:rsidRDefault="008F5905" w:rsidP="008F5905"/>
    <w:p w14:paraId="71D89F15" w14:textId="77777777" w:rsidR="005172E4" w:rsidRDefault="005172E4"/>
    <w:sectPr w:rsidR="005172E4" w:rsidSect="005124F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4073" w14:textId="77777777" w:rsidR="00D76368" w:rsidRDefault="00D76368">
      <w:r>
        <w:separator/>
      </w:r>
    </w:p>
  </w:endnote>
  <w:endnote w:type="continuationSeparator" w:id="0">
    <w:p w14:paraId="4F3E27FA" w14:textId="77777777" w:rsidR="00D76368" w:rsidRDefault="00D7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9CC2" w14:textId="77777777" w:rsidR="00D76368" w:rsidRDefault="00D76368">
      <w:r>
        <w:separator/>
      </w:r>
    </w:p>
  </w:footnote>
  <w:footnote w:type="continuationSeparator" w:id="0">
    <w:p w14:paraId="3A8740D0" w14:textId="77777777" w:rsidR="00D76368" w:rsidRDefault="00D7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5172E4"/>
    <w:rsid w:val="00533A33"/>
    <w:rsid w:val="008A1893"/>
    <w:rsid w:val="008F5905"/>
    <w:rsid w:val="00B47094"/>
    <w:rsid w:val="00D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3</cp:revision>
  <dcterms:created xsi:type="dcterms:W3CDTF">2022-12-07T12:15:00Z</dcterms:created>
  <dcterms:modified xsi:type="dcterms:W3CDTF">2022-12-07T12:19:00Z</dcterms:modified>
</cp:coreProperties>
</file>